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048E" w14:textId="77777777" w:rsidR="00F502C5" w:rsidRDefault="00F502C5" w:rsidP="00F502C5">
      <w:pPr>
        <w:pStyle w:val="NormalWeb"/>
        <w:spacing w:before="0" w:beforeAutospacing="0" w:after="0" w:afterAutospacing="0" w:line="360" w:lineRule="auto"/>
        <w:jc w:val="both"/>
        <w:rPr>
          <w:rStyle w:val="Strong"/>
          <w:rFonts w:ascii="Arial" w:hAnsi="Arial" w:cs="Arial"/>
          <w:color w:val="0E101A"/>
        </w:rPr>
      </w:pPr>
      <w:r w:rsidRPr="009A3AED">
        <w:rPr>
          <w:rStyle w:val="Strong"/>
          <w:rFonts w:ascii="Arial" w:hAnsi="Arial" w:cs="Arial"/>
          <w:color w:val="0E101A"/>
        </w:rPr>
        <w:t>Computational analysis of UBS109 and murine double minute 2 (MDM2) in pancreatic cancer</w:t>
      </w:r>
    </w:p>
    <w:p w14:paraId="40278AA3" w14:textId="77777777" w:rsidR="00F502C5" w:rsidRPr="009A3AED" w:rsidRDefault="00F502C5" w:rsidP="00F502C5">
      <w:pPr>
        <w:pStyle w:val="NormalWeb"/>
        <w:spacing w:before="0" w:beforeAutospacing="0" w:after="0" w:afterAutospacing="0" w:line="360" w:lineRule="auto"/>
        <w:jc w:val="both"/>
        <w:rPr>
          <w:rStyle w:val="Strong"/>
          <w:rFonts w:ascii="Arial" w:hAnsi="Arial" w:cs="Arial"/>
          <w:color w:val="0E101A"/>
        </w:rPr>
      </w:pPr>
    </w:p>
    <w:p w14:paraId="47FE5AE4" w14:textId="77777777" w:rsidR="00F502C5" w:rsidRPr="00F502C5" w:rsidRDefault="00F502C5" w:rsidP="00F502C5">
      <w:pPr>
        <w:spacing w:line="480" w:lineRule="auto"/>
        <w:jc w:val="both"/>
        <w:rPr>
          <w:rFonts w:ascii="Arial" w:hAnsi="Arial" w:cs="Arial"/>
          <w:bCs/>
          <w:color w:val="0D0D0D"/>
          <w:kern w:val="36"/>
          <w:sz w:val="24"/>
          <w:szCs w:val="24"/>
          <w:vertAlign w:val="superscript"/>
        </w:rPr>
      </w:pPr>
      <w:r w:rsidRPr="007B07B8">
        <w:rPr>
          <w:rFonts w:ascii="Arial" w:hAnsi="Arial" w:cs="Arial"/>
          <w:bCs/>
          <w:sz w:val="24"/>
          <w:szCs w:val="24"/>
        </w:rPr>
        <w:t>Veda Muppala</w:t>
      </w:r>
      <w:r w:rsidRPr="007B07B8">
        <w:rPr>
          <w:rFonts w:ascii="Arial" w:hAnsi="Arial" w:cs="Arial"/>
          <w:bCs/>
          <w:color w:val="0D0D0D"/>
          <w:kern w:val="36"/>
          <w:sz w:val="24"/>
          <w:szCs w:val="24"/>
          <w:vertAlign w:val="superscript"/>
        </w:rPr>
        <w:t>1</w:t>
      </w:r>
      <w:r w:rsidRPr="00F502C5">
        <w:rPr>
          <w:rFonts w:ascii="Arial" w:hAnsi="Arial" w:cs="Arial"/>
          <w:bCs/>
          <w:sz w:val="24"/>
          <w:szCs w:val="24"/>
        </w:rPr>
        <w:t>, Santosh Behera</w:t>
      </w:r>
      <w:r w:rsidRPr="00F502C5">
        <w:rPr>
          <w:rFonts w:ascii="Arial" w:hAnsi="Arial" w:cs="Arial"/>
          <w:bCs/>
          <w:color w:val="0D0D0D"/>
          <w:kern w:val="36"/>
          <w:sz w:val="24"/>
          <w:szCs w:val="24"/>
          <w:vertAlign w:val="superscript"/>
        </w:rPr>
        <w:t>2</w:t>
      </w:r>
      <w:r w:rsidRPr="00F502C5">
        <w:rPr>
          <w:rFonts w:ascii="Arial" w:hAnsi="Arial" w:cs="Arial"/>
          <w:bCs/>
          <w:sz w:val="24"/>
          <w:szCs w:val="24"/>
        </w:rPr>
        <w:t>, Bassel El-Rayes</w:t>
      </w:r>
      <w:r w:rsidRPr="00F502C5">
        <w:rPr>
          <w:rFonts w:ascii="Arial" w:hAnsi="Arial" w:cs="Arial"/>
          <w:bCs/>
          <w:color w:val="0D0D0D"/>
          <w:kern w:val="36"/>
          <w:sz w:val="24"/>
          <w:szCs w:val="24"/>
          <w:vertAlign w:val="superscript"/>
        </w:rPr>
        <w:t>1</w:t>
      </w:r>
      <w:r w:rsidRPr="00F502C5">
        <w:rPr>
          <w:rFonts w:ascii="Arial" w:hAnsi="Arial" w:cs="Arial"/>
          <w:bCs/>
          <w:sz w:val="24"/>
          <w:szCs w:val="24"/>
        </w:rPr>
        <w:t xml:space="preserve"> and </w:t>
      </w:r>
      <w:r w:rsidRPr="00F502C5">
        <w:rPr>
          <w:rFonts w:ascii="Arial" w:hAnsi="Arial" w:cs="Arial"/>
          <w:bCs/>
          <w:color w:val="0D0D0D"/>
          <w:kern w:val="36"/>
          <w:sz w:val="24"/>
          <w:szCs w:val="24"/>
        </w:rPr>
        <w:t>Ganji Purnachandra Nagaraju</w:t>
      </w:r>
      <w:r w:rsidRPr="00F502C5">
        <w:rPr>
          <w:rFonts w:ascii="Arial" w:hAnsi="Arial" w:cs="Arial"/>
          <w:bCs/>
          <w:color w:val="0D0D0D"/>
          <w:kern w:val="36"/>
          <w:sz w:val="24"/>
          <w:szCs w:val="24"/>
          <w:vertAlign w:val="superscript"/>
        </w:rPr>
        <w:t>1</w:t>
      </w:r>
    </w:p>
    <w:p w14:paraId="03F1C834" w14:textId="77777777" w:rsidR="00F502C5" w:rsidRPr="009A3AED" w:rsidRDefault="00F502C5" w:rsidP="00F502C5">
      <w:pPr>
        <w:spacing w:before="240" w:after="240" w:line="240" w:lineRule="auto"/>
        <w:rPr>
          <w:rFonts w:ascii="Arial" w:hAnsi="Arial" w:cs="Arial"/>
          <w:bCs/>
          <w:i/>
          <w:color w:val="0D0D0D"/>
          <w:sz w:val="24"/>
          <w:szCs w:val="24"/>
        </w:rPr>
      </w:pPr>
      <w:r w:rsidRPr="009A3AED">
        <w:rPr>
          <w:rFonts w:ascii="Arial" w:hAnsi="Arial" w:cs="Arial"/>
          <w:bCs/>
          <w:i/>
          <w:color w:val="0D0D0D"/>
          <w:kern w:val="36"/>
          <w:sz w:val="24"/>
          <w:szCs w:val="24"/>
          <w:vertAlign w:val="superscript"/>
        </w:rPr>
        <w:t>1</w:t>
      </w:r>
      <w:r w:rsidRPr="009A3AED">
        <w:rPr>
          <w:rFonts w:ascii="Arial" w:hAnsi="Arial" w:cs="Arial"/>
          <w:bCs/>
          <w:i/>
          <w:color w:val="0D0D0D"/>
          <w:sz w:val="24"/>
          <w:szCs w:val="24"/>
        </w:rPr>
        <w:t>Department of Hematology and Oncology, Heersink School of Medicine, University of Alabama, Birmingham, AL 35233, USA.</w:t>
      </w:r>
    </w:p>
    <w:p w14:paraId="6D9A3187" w14:textId="77777777" w:rsidR="00F502C5" w:rsidRDefault="00F502C5" w:rsidP="00F502C5">
      <w:pPr>
        <w:pStyle w:val="NormalWeb"/>
        <w:spacing w:before="0" w:beforeAutospacing="0" w:after="0" w:afterAutospacing="0" w:line="360" w:lineRule="auto"/>
        <w:jc w:val="both"/>
        <w:rPr>
          <w:rFonts w:ascii="Arial" w:hAnsi="Arial" w:cs="Arial"/>
          <w:bCs/>
          <w:i/>
          <w:color w:val="0D0D0D"/>
        </w:rPr>
      </w:pPr>
      <w:r w:rsidRPr="009A3AED">
        <w:rPr>
          <w:rFonts w:ascii="Arial" w:hAnsi="Arial" w:cs="Arial"/>
          <w:bCs/>
          <w:i/>
          <w:color w:val="0D0D0D"/>
          <w:kern w:val="36"/>
          <w:vertAlign w:val="superscript"/>
        </w:rPr>
        <w:t>2</w:t>
      </w:r>
      <w:r w:rsidRPr="009A3AED">
        <w:rPr>
          <w:rFonts w:ascii="Arial" w:hAnsi="Arial" w:cs="Arial"/>
          <w:bCs/>
          <w:i/>
          <w:color w:val="0D0D0D"/>
        </w:rPr>
        <w:t>Department of Biotechnology, National Institute of Pharmaceutical Education and Research, (NIPER), Ahmedabad, Gujarat, India</w:t>
      </w:r>
    </w:p>
    <w:p w14:paraId="4F6B028D" w14:textId="77777777" w:rsidR="00F502C5" w:rsidRPr="009A3AED" w:rsidRDefault="00F502C5" w:rsidP="00F502C5">
      <w:pPr>
        <w:pStyle w:val="NormalWeb"/>
        <w:spacing w:before="0" w:beforeAutospacing="0" w:after="0" w:afterAutospacing="0" w:line="360" w:lineRule="auto"/>
        <w:jc w:val="both"/>
        <w:rPr>
          <w:rStyle w:val="Strong"/>
          <w:rFonts w:ascii="Arial" w:hAnsi="Arial" w:cs="Arial"/>
          <w:color w:val="0E101A"/>
        </w:rPr>
      </w:pPr>
    </w:p>
    <w:p w14:paraId="574DB476" w14:textId="77777777" w:rsidR="00F502C5" w:rsidRPr="009A3AED" w:rsidRDefault="00F502C5" w:rsidP="00F502C5">
      <w:pPr>
        <w:pStyle w:val="NormalWeb"/>
        <w:spacing w:before="0" w:beforeAutospacing="0" w:after="0" w:afterAutospacing="0" w:line="360" w:lineRule="auto"/>
        <w:jc w:val="both"/>
        <w:rPr>
          <w:rFonts w:ascii="Arial" w:hAnsi="Arial" w:cs="Arial"/>
          <w:color w:val="0E101A"/>
        </w:rPr>
      </w:pPr>
      <w:r w:rsidRPr="009A3AED">
        <w:rPr>
          <w:rStyle w:val="Strong"/>
          <w:rFonts w:ascii="Arial" w:hAnsi="Arial" w:cs="Arial"/>
          <w:color w:val="0E101A"/>
        </w:rPr>
        <w:t>Abstract</w:t>
      </w:r>
    </w:p>
    <w:p w14:paraId="5B10F985" w14:textId="77777777" w:rsidR="00F502C5" w:rsidRPr="009A3AED" w:rsidRDefault="00F502C5" w:rsidP="00F502C5">
      <w:pPr>
        <w:pStyle w:val="NormalWeb"/>
        <w:spacing w:before="0" w:beforeAutospacing="0" w:after="0" w:afterAutospacing="0" w:line="360" w:lineRule="auto"/>
        <w:jc w:val="both"/>
        <w:rPr>
          <w:rFonts w:ascii="Arial" w:hAnsi="Arial" w:cs="Arial"/>
          <w:color w:val="0E101A"/>
        </w:rPr>
      </w:pPr>
      <w:r w:rsidRPr="009A3AED">
        <w:rPr>
          <w:rStyle w:val="Strong"/>
          <w:rFonts w:ascii="Arial" w:hAnsi="Arial" w:cs="Arial"/>
          <w:color w:val="0E101A"/>
        </w:rPr>
        <w:t>Background/Objectives</w:t>
      </w:r>
      <w:r w:rsidRPr="009A3AED">
        <w:rPr>
          <w:rFonts w:ascii="Arial" w:hAnsi="Arial" w:cs="Arial"/>
          <w:color w:val="0E101A"/>
        </w:rPr>
        <w:t>: Overexpression of Murine double minute 2 (MDM2) associated with the inhibition of tumor suppressors, enhanced epithelial-mesenchymal transition (EMT), and upregulation of oncoproteins in pancreatic cancer (PC). Curcumin is an extensively studied molecule due to its various anticancer properties. Curcumin is known to upregulate p53, p21, and p27. At the same time, downregulate MDM2, cyclin D1, and cyclin E. UBS109 is a mono-carbonyl analog of curcumin that exhibits comparable anti-tumor and anti-inflammatory characteristics without the restrictions of curcumin. This investigation intends to target MDM2 by curcumin and UBS109 in PC. </w:t>
      </w:r>
    </w:p>
    <w:p w14:paraId="35413750" w14:textId="6F9B2971" w:rsidR="00F502C5" w:rsidRPr="009A3AED" w:rsidRDefault="00F502C5" w:rsidP="00F502C5">
      <w:pPr>
        <w:pStyle w:val="NormalWeb"/>
        <w:spacing w:before="0" w:beforeAutospacing="0" w:after="0" w:afterAutospacing="0" w:line="360" w:lineRule="auto"/>
        <w:jc w:val="both"/>
        <w:rPr>
          <w:rFonts w:ascii="Arial" w:hAnsi="Arial" w:cs="Arial"/>
          <w:color w:val="0E101A"/>
        </w:rPr>
      </w:pPr>
      <w:r w:rsidRPr="009A3AED">
        <w:rPr>
          <w:rStyle w:val="Strong"/>
          <w:rFonts w:ascii="Arial" w:hAnsi="Arial" w:cs="Arial"/>
          <w:color w:val="0E101A"/>
        </w:rPr>
        <w:t>Methods</w:t>
      </w:r>
      <w:r w:rsidRPr="009A3AED">
        <w:rPr>
          <w:rFonts w:ascii="Arial" w:hAnsi="Arial" w:cs="Arial"/>
          <w:color w:val="0E101A"/>
        </w:rPr>
        <w:t>: Molecular Docking (</w:t>
      </w:r>
      <w:proofErr w:type="spellStart"/>
      <w:r w:rsidRPr="009A3AED">
        <w:rPr>
          <w:rFonts w:ascii="Arial" w:hAnsi="Arial" w:cs="Arial"/>
          <w:color w:val="0E101A"/>
        </w:rPr>
        <w:t>AutoDock</w:t>
      </w:r>
      <w:proofErr w:type="spellEnd"/>
      <w:r w:rsidRPr="009A3AED">
        <w:rPr>
          <w:rFonts w:ascii="Arial" w:hAnsi="Arial" w:cs="Arial"/>
          <w:color w:val="0E101A"/>
        </w:rPr>
        <w:t xml:space="preserve"> 4.2.) is used to predict the interaction between the drug (curcumin and UBS109) and the protein (MDM2). To confirm the effectiveness of drugs, we performed western blot analysis in PC cell lines </w:t>
      </w:r>
      <w:r w:rsidR="005225BB">
        <w:rPr>
          <w:rFonts w:ascii="Arial" w:hAnsi="Arial" w:cs="Arial"/>
          <w:color w:val="0E101A"/>
        </w:rPr>
        <w:t>AsP</w:t>
      </w:r>
      <w:r w:rsidR="00BE6E72">
        <w:rPr>
          <w:rFonts w:ascii="Arial" w:hAnsi="Arial" w:cs="Arial"/>
          <w:color w:val="0E101A"/>
        </w:rPr>
        <w:t>C-1</w:t>
      </w:r>
      <w:r w:rsidRPr="009A3AED">
        <w:rPr>
          <w:rFonts w:ascii="Arial" w:hAnsi="Arial" w:cs="Arial"/>
          <w:color w:val="0E101A"/>
        </w:rPr>
        <w:t>, and PANC-1.</w:t>
      </w:r>
    </w:p>
    <w:p w14:paraId="21F3C34B" w14:textId="49991646" w:rsidR="00F502C5" w:rsidRPr="009A3AED" w:rsidRDefault="00F502C5" w:rsidP="00F502C5">
      <w:pPr>
        <w:pStyle w:val="NormalWeb"/>
        <w:spacing w:before="0" w:beforeAutospacing="0" w:after="0" w:afterAutospacing="0" w:line="360" w:lineRule="auto"/>
        <w:jc w:val="both"/>
        <w:rPr>
          <w:rFonts w:ascii="Arial" w:hAnsi="Arial" w:cs="Arial"/>
          <w:color w:val="0E101A"/>
        </w:rPr>
      </w:pPr>
      <w:r w:rsidRPr="009A3AED">
        <w:rPr>
          <w:rStyle w:val="Strong"/>
          <w:rFonts w:ascii="Arial" w:hAnsi="Arial" w:cs="Arial"/>
          <w:color w:val="0E101A"/>
        </w:rPr>
        <w:t>Results</w:t>
      </w:r>
      <w:r w:rsidRPr="009A3AED">
        <w:rPr>
          <w:rFonts w:ascii="Arial" w:hAnsi="Arial" w:cs="Arial"/>
          <w:color w:val="0E101A"/>
        </w:rPr>
        <w:t xml:space="preserve">: With the aid of advanced computational approaches, the binding capacity of MDM2 against curcumin and UBS109 was evaluated. Post-MD simulations revealed that UBS109 exhibited </w:t>
      </w:r>
      <w:r>
        <w:rPr>
          <w:rFonts w:ascii="Arial" w:hAnsi="Arial" w:cs="Arial"/>
          <w:color w:val="0E101A"/>
        </w:rPr>
        <w:t>higher</w:t>
      </w:r>
      <w:r w:rsidRPr="009A3AED">
        <w:rPr>
          <w:rFonts w:ascii="Arial" w:hAnsi="Arial" w:cs="Arial"/>
          <w:color w:val="0E101A"/>
        </w:rPr>
        <w:t xml:space="preserve"> reactivity and higher kinetic stability than curcumin. Treatment with curcumin or UBS109 caused a low MDM2 protein level in </w:t>
      </w:r>
      <w:r w:rsidR="00BE6E72">
        <w:rPr>
          <w:rFonts w:ascii="Arial" w:hAnsi="Arial" w:cs="Arial"/>
          <w:color w:val="0E101A"/>
        </w:rPr>
        <w:t>AsPC-1</w:t>
      </w:r>
      <w:r w:rsidRPr="009A3AED">
        <w:rPr>
          <w:rFonts w:ascii="Arial" w:hAnsi="Arial" w:cs="Arial"/>
          <w:color w:val="0E101A"/>
        </w:rPr>
        <w:t xml:space="preserve"> and PANC-1 cells compared to treatment with DMSO. β-actin is used as a loading control.</w:t>
      </w:r>
    </w:p>
    <w:p w14:paraId="3F6B65B6" w14:textId="3DB29055" w:rsidR="006220F3" w:rsidRDefault="00F502C5" w:rsidP="00F502C5">
      <w:pPr>
        <w:pStyle w:val="NormalWeb"/>
        <w:spacing w:before="0" w:beforeAutospacing="0" w:after="0" w:afterAutospacing="0" w:line="360" w:lineRule="auto"/>
        <w:jc w:val="both"/>
      </w:pPr>
      <w:r w:rsidRPr="009A3AED">
        <w:rPr>
          <w:rStyle w:val="Strong"/>
          <w:rFonts w:ascii="Arial" w:hAnsi="Arial" w:cs="Arial"/>
          <w:color w:val="0E101A"/>
        </w:rPr>
        <w:t>Conclusion</w:t>
      </w:r>
      <w:r>
        <w:rPr>
          <w:rStyle w:val="Strong"/>
          <w:rFonts w:ascii="Arial" w:hAnsi="Arial" w:cs="Arial"/>
          <w:color w:val="0E101A"/>
        </w:rPr>
        <w:t xml:space="preserve">: </w:t>
      </w:r>
      <w:r w:rsidRPr="009A3AED">
        <w:rPr>
          <w:rFonts w:ascii="Arial" w:hAnsi="Arial" w:cs="Arial"/>
          <w:color w:val="0E101A"/>
        </w:rPr>
        <w:t>The collective outcomes of </w:t>
      </w:r>
      <w:r w:rsidRPr="009A3AED">
        <w:rPr>
          <w:rStyle w:val="Emphasis"/>
          <w:rFonts w:ascii="Arial" w:hAnsi="Arial" w:cs="Arial"/>
          <w:color w:val="0E101A"/>
        </w:rPr>
        <w:t>in silico</w:t>
      </w:r>
      <w:r w:rsidRPr="009A3AED">
        <w:rPr>
          <w:rFonts w:ascii="Arial" w:hAnsi="Arial" w:cs="Arial"/>
          <w:color w:val="0E101A"/>
        </w:rPr>
        <w:t> and </w:t>
      </w:r>
      <w:r w:rsidRPr="009A3AED">
        <w:rPr>
          <w:rStyle w:val="Emphasis"/>
          <w:rFonts w:ascii="Arial" w:hAnsi="Arial" w:cs="Arial"/>
          <w:color w:val="0E101A"/>
        </w:rPr>
        <w:t>in vitro</w:t>
      </w:r>
      <w:r w:rsidRPr="009A3AED">
        <w:rPr>
          <w:rFonts w:ascii="Arial" w:hAnsi="Arial" w:cs="Arial"/>
          <w:color w:val="0E101A"/>
        </w:rPr>
        <w:t> analyses revealed that UBS109 can efficiently bind to MDM2 and serve as a probable anti-tumor agent for managing PC. Additional </w:t>
      </w:r>
      <w:r w:rsidRPr="009A3AED">
        <w:rPr>
          <w:rStyle w:val="Emphasis"/>
          <w:rFonts w:ascii="Arial" w:hAnsi="Arial" w:cs="Arial"/>
          <w:color w:val="0E101A"/>
        </w:rPr>
        <w:t>in vivo</w:t>
      </w:r>
      <w:r w:rsidRPr="009A3AED">
        <w:rPr>
          <w:rFonts w:ascii="Arial" w:hAnsi="Arial" w:cs="Arial"/>
          <w:color w:val="0E101A"/>
        </w:rPr>
        <w:t> investigations are vital to solidify our analysis's outcome further and confirm the anti-cancerous effects of the novel curcumin analog, UBS109.</w:t>
      </w:r>
    </w:p>
    <w:sectPr w:rsidR="0062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C5"/>
    <w:rsid w:val="005225BB"/>
    <w:rsid w:val="006220F3"/>
    <w:rsid w:val="007B07B8"/>
    <w:rsid w:val="00BE6E72"/>
    <w:rsid w:val="00D41CD8"/>
    <w:rsid w:val="00F5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624D"/>
  <w15:chartTrackingRefBased/>
  <w15:docId w15:val="{5D94F58F-F9CE-4C98-8210-1C6C2CD5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2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502C5"/>
    <w:rPr>
      <w:b/>
      <w:bCs/>
    </w:rPr>
  </w:style>
  <w:style w:type="character" w:styleId="Emphasis">
    <w:name w:val="Emphasis"/>
    <w:basedOn w:val="DefaultParagraphFont"/>
    <w:uiPriority w:val="20"/>
    <w:qFormat/>
    <w:rsid w:val="00F50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Ganji, Purnachandra Nagaraju (Campus)</dc:creator>
  <cp:keywords/>
  <dc:description/>
  <cp:lastModifiedBy>Ganji, Purnachandra Nagaraju (Campus)</cp:lastModifiedBy>
  <cp:revision>6</cp:revision>
  <dcterms:created xsi:type="dcterms:W3CDTF">2023-11-11T19:07:00Z</dcterms:created>
  <dcterms:modified xsi:type="dcterms:W3CDTF">2023-11-11T19:13:00Z</dcterms:modified>
</cp:coreProperties>
</file>